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142" w:hanging="142"/>
        <w:jc w:val="center"/>
        <w:rPr>
          <w:sz w:val="28"/>
          <w:szCs w:val="28"/>
        </w:rPr>
      </w:pPr>
    </w:p>
    <w:p>
      <w:pPr>
        <w:spacing w:before="0" w:after="0"/>
        <w:ind w:left="142" w:hanging="14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ind w:left="142" w:hanging="14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  <w:sz w:val="28"/>
          <w:szCs w:val="28"/>
        </w:rPr>
        <w:t>много округа-Югры Миненко Юлия Борисовна,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помощников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межрайонного прокурора Рыжовой </w:t>
      </w:r>
      <w:r>
        <w:rPr>
          <w:rFonts w:ascii="Times New Roman" w:eastAsia="Times New Roman" w:hAnsi="Times New Roman" w:cs="Times New Roman"/>
          <w:sz w:val="28"/>
          <w:szCs w:val="28"/>
        </w:rPr>
        <w:t>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Карпенко Е.С.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 дело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>вном правонарушении №5-</w:t>
      </w:r>
      <w:r>
        <w:rPr>
          <w:rFonts w:ascii="Times New Roman" w:eastAsia="Times New Roman" w:hAnsi="Times New Roman" w:cs="Times New Roman"/>
          <w:sz w:val="28"/>
          <w:szCs w:val="28"/>
        </w:rPr>
        <w:t>505-2803/2024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ч.1 ст.20.35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(далее-К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АП 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должностного лица –директора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центр содействия семейному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Лифановой Ирины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представлено, 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Лифанова Ирина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БУ ХМАО-Югры «Ханты-Мансийский центр содействия семейному воспитанию»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09.01.2024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по месту исполнения своих должностных обязанностей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Свердлова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вследствие ненадлежащего исполнения своих должностных обязанностей,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олжностной инструкции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 ХМАО-Югры «Ханты-Мансийский центр содействия семейному воспитанию»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>23.08.2021 директором Департамента социального развития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заключающихся в осуществлении руководства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 Учреждения в соответствии с действующим законодательством Российской Федерации и Ханты-Манс</w:t>
      </w:r>
      <w:r>
        <w:rPr>
          <w:rFonts w:ascii="Times New Roman" w:eastAsia="Times New Roman" w:hAnsi="Times New Roman" w:cs="Times New Roman"/>
          <w:sz w:val="28"/>
          <w:szCs w:val="28"/>
        </w:rPr>
        <w:t>ийского автономного округа-Югры;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обеспечении выполнения требований по комплексной безопасности учреждения и получателей социальных услуг, гражданской обороне, мобилизационной подготовке, противопожарной, антитеррористической безопасности, </w:t>
      </w:r>
      <w:r>
        <w:rPr>
          <w:rFonts w:ascii="Times New Roman" w:eastAsia="Times New Roman" w:hAnsi="Times New Roman" w:cs="Times New Roman"/>
          <w:sz w:val="28"/>
          <w:szCs w:val="28"/>
        </w:rPr>
        <w:t>нарушила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пунктов 1</w:t>
      </w:r>
      <w:r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7, 23, 24</w:t>
      </w:r>
      <w:r>
        <w:rPr>
          <w:rFonts w:ascii="Times New Roman" w:eastAsia="Times New Roman" w:hAnsi="Times New Roman" w:cs="Times New Roman"/>
          <w:sz w:val="28"/>
          <w:szCs w:val="28"/>
        </w:rPr>
        <w:t>, 31 и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13.05.2016 №410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требований к антитеррористической защищенности объектов (территорий)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объектов (территорий), относящихся к сфере деятельности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формы паспорта безопаснос</w:t>
      </w:r>
      <w:r>
        <w:rPr>
          <w:rFonts w:ascii="Times New Roman" w:eastAsia="Times New Roman" w:hAnsi="Times New Roman" w:cs="Times New Roman"/>
          <w:sz w:val="28"/>
          <w:szCs w:val="28"/>
        </w:rPr>
        <w:t>ти этих объектов (территорий)»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(далее- Требования)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объекта (территории)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ул.Свердлова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д.23,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правообладателем которого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 «Ханты-Мансийский центр содействия семейному воспитанию»,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 в соответствии с паспортом безопасности, утвержденным 23.0</w:t>
      </w:r>
      <w:r>
        <w:rPr>
          <w:rFonts w:ascii="Times New Roman" w:eastAsia="Times New Roman" w:hAnsi="Times New Roman" w:cs="Times New Roman"/>
          <w:sz w:val="28"/>
          <w:szCs w:val="28"/>
        </w:rPr>
        <w:t>8.2022, присвоена 1 категория,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акта обследования и категорирования объекта (территории)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(п.12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не обеспечила разработку перечня мероприятий по обеспечению антитеррористической защищенности с указанием срока р</w:t>
      </w:r>
      <w:r>
        <w:rPr>
          <w:rFonts w:ascii="Times New Roman" w:eastAsia="Times New Roman" w:hAnsi="Times New Roman" w:cs="Times New Roman"/>
          <w:sz w:val="28"/>
          <w:szCs w:val="28"/>
        </w:rPr>
        <w:t>еализации указанных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(п.14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обеспечила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антитеррористическую защищенность объекта (территории) путем осуществления мероприятий (п.15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выявлению потенциальных нарушителей установленных на объекте (территории) пропускного 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 и (или) признаков подготовки совершения террористического акта или его совершения, посредством контроля состояния систем подземных коммуникаций, стоянок автотранспорта, складских помещений, не обеспечив обхо</w:t>
      </w:r>
      <w:r>
        <w:rPr>
          <w:rFonts w:ascii="Times New Roman" w:eastAsia="Times New Roman" w:hAnsi="Times New Roman" w:cs="Times New Roman"/>
          <w:sz w:val="28"/>
          <w:szCs w:val="28"/>
        </w:rPr>
        <w:t>д территории охранником ООО ЧОО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«Цербер»</w:t>
      </w:r>
      <w:r>
        <w:rPr>
          <w:rFonts w:ascii="Times New Roman" w:eastAsia="Times New Roman" w:hAnsi="Times New Roman" w:cs="Times New Roman"/>
          <w:sz w:val="28"/>
          <w:szCs w:val="28"/>
        </w:rPr>
        <w:t>, не согласован план взаимодействия с территориальными органами безопасности и МВД РФ по вопросам противодействия терроризму и экстремизму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.«б» п.15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защите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числе, служебной информации ограниченного распространения о принимаемых мерах по антитеррористической защищенности объекта (территории) посредством ограничения доступа должностных (работников) к данной информации: (работники Лифанова И.А., Аксенов Н.И., Пшеницын А.В., Балашова М.О., не прошедшие обучение, не имеют полномочий работать с документами ограниченного пользования); посредством подготовки и переподготовки должностных лиц (работников) по вопросам работы со служебной информацией ограниченного распространения (отсутствует обучение Лифановой И.А., Аксенова Н.И., </w:t>
      </w:r>
      <w:r>
        <w:rPr>
          <w:rFonts w:ascii="Times New Roman" w:eastAsia="Times New Roman" w:hAnsi="Times New Roman" w:cs="Times New Roman"/>
          <w:sz w:val="28"/>
          <w:szCs w:val="28"/>
        </w:rPr>
        <w:t>Пшеницына А.В. и Балашова М.О.) (</w:t>
      </w:r>
      <w:r>
        <w:rPr>
          <w:rFonts w:ascii="Times New Roman" w:eastAsia="Times New Roman" w:hAnsi="Times New Roman" w:cs="Times New Roman"/>
          <w:sz w:val="28"/>
          <w:szCs w:val="28"/>
        </w:rPr>
        <w:t>попд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.«г» п.15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выявлению и предотвращению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числе, при получении посредством почтовых отправлений, посредством проверки (обхода и осмотра) зданий, сооружений и строений: обход территории охранником ООО ЧОО «Цербер»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eastAsia="Times New Roman" w:hAnsi="Times New Roman" w:cs="Times New Roman"/>
          <w:sz w:val="28"/>
          <w:szCs w:val="28"/>
        </w:rPr>
        <w:t>ществляется с 09.12.2023 (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д» п.15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не обеспечила разработку и утверждение организационно-распорядительных документов по вопросам назначения лиц, ответственных за обеспечение антитеррористической защищенности объекта (территорий), их критических элементов по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назначения лиц, ответственных за обеспечение антитеррористической защищенности объектов (территорий), их критических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(отсутствует локальный правовой акт)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в» п.16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 контроля за выполнением мероприятий по антитеррористической защищенности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(отсутствует локальный правовой акт)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г» п.16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проведения с работниками объектов (территорий) инструктажей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 или при его совершении (отсутствует журнал инструктажей)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е» п.16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проведений учений, тренировок по безопасной и своевременной эвакуации работников объектов (территорий) и посетителей из зданий (сооружений) (отсутствует локальный правовой акт на 2024 год)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ж» п.16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 (отсутствует согласованный план взаимодействия)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з» п.16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 обеспечила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периодический обход и осмотр объекта (территории), его помещений, систем подземных коммуникаций, стоянок автотранспорта, складских помещ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состояния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проведения мероприят</w:t>
      </w:r>
      <w:r>
        <w:rPr>
          <w:rFonts w:ascii="Times New Roman" w:eastAsia="Times New Roman" w:hAnsi="Times New Roman" w:cs="Times New Roman"/>
          <w:sz w:val="28"/>
          <w:szCs w:val="28"/>
        </w:rPr>
        <w:t>ий с массовым пребыванием людей (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.«</w:t>
      </w:r>
      <w:r>
        <w:rPr>
          <w:rFonts w:ascii="Times New Roman" w:eastAsia="Times New Roman" w:hAnsi="Times New Roman" w:cs="Times New Roman"/>
          <w:sz w:val="28"/>
          <w:szCs w:val="28"/>
        </w:rPr>
        <w:t>б,в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п.17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) (обход территории охранником ООО ЧОО «Цербер» не осуществляется).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 обеспечила проведение плановых проверок антитеррористической защищенности объекта (территории) (п.п.23, 24-25 Требований)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обеспечила соблюдение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согласования паспорта безопа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(п.31 требований)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-не обеспечила направление копии (электронные копии) паспорта безопасности антитеррористической защищенности объекта (территории)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 (п.34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Требований), чем совершила правонарушение, предусмотренное ч.1 ст.20.35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Лифанова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явилась, о месте и времени судебного заседания извещена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об отложении судебного заседания не ходатайствовала.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Лифановой И.А.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Рыжова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Карпенко Е.С. настояли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привлечении Лифановой И.А. к административной ответственности по ч.1 ст.20.35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Выслушав прокуроров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Частью первой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.35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обеспечению требований к антитеррористической защищенности объектов (территорий), за исключением случаев, предусмотренных </w:t>
      </w:r>
      <w:hyperlink w:anchor="sub_2035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</w:t>
      </w:r>
      <w:hyperlink w:anchor="sub_111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203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20.30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если эти действия не содержат признаков уголовно наказуемого деяния.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 регламентированы Федеральным законом от 06 марта 2006 г. №35-ФЗ «О противодействии терроризму».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ст.2 данного Федерального закона одним из основных принципов противодействия терроризму является обеспечение и защита основных прав и свобод человека и гражданина, приоритет мер предупреждения терроризма, соразмерность мер противодействия терроризму степени террористической опасности.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ч.ч.4,6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№35-ФЗ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 это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числе, по выявлению и последующему устранению причин и условий, способствующих совершению террористических актов (профилактика терроризма); под антитеррористической защищенностью объекта (территории) понимается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требований п.4 ч.2 ст.5 Федерального закона №35-ФЗ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равительство Российской Федерации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13 мая 2016 г. №410 утверждены Т</w:t>
      </w:r>
      <w:r>
        <w:rPr>
          <w:rFonts w:ascii="Times New Roman" w:eastAsia="Times New Roman" w:hAnsi="Times New Roman" w:cs="Times New Roman"/>
          <w:sz w:val="28"/>
          <w:szCs w:val="28"/>
        </w:rPr>
        <w:t>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утвержденными постановлением Правительства РФ (далее- постановление Правительства РФ №410).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п.2.1 Устава БУ ХМАО-Югры «Центр помощи детям, ост</w:t>
      </w:r>
      <w:r>
        <w:rPr>
          <w:rFonts w:ascii="Times New Roman" w:eastAsia="Times New Roman" w:hAnsi="Times New Roman" w:cs="Times New Roman"/>
          <w:sz w:val="28"/>
          <w:szCs w:val="28"/>
        </w:rPr>
        <w:t>авшимся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«Радуга», утвержденного распоряжением руководителя Департамента по управлению государственным имуществом ХМАО-Югры №13-р-1642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изменениями)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учреждения являе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социальное обслуживание детей-сирот, детей, оставшихся без попечения родителей, и содействие в их дальнейшем устройстве, а также удовлетворение потребностей населения Ханты-Мансийского автономного округа-Югры в социальных услугах и социальном сопровождении.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номенклатурой организаций социального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>в Ханты-Мансийском автономном округе-Югре учреждение является центром содействия семейному воспитанию».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п.3 раздела 1 постановления Правительства РФ №410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п.12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РФ №410 р</w:t>
      </w:r>
      <w:r>
        <w:rPr>
          <w:rFonts w:ascii="Times New Roman" w:eastAsia="Times New Roman" w:hAnsi="Times New Roman" w:cs="Times New Roman"/>
          <w:sz w:val="28"/>
          <w:szCs w:val="28"/>
        </w:rPr>
        <w:t>езультаты работы комиссии по обследованию и категорированию объекта (территории) оформляются актом обследования и категорирования объекта (территории), который составляется в одном экземпляре, подписывается всеми членами комиссии, утверждается руководителем органа (организации), являющегося правообладателем объекта (территории), назначившим комиссию, или уполномоченным им лицом.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каждого объекта (территории)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мероприятий, который не может превышать 12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месяцев со дня подписания акта обследования и категорирования объекта (территории).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.«</w:t>
      </w:r>
      <w:r>
        <w:rPr>
          <w:rFonts w:ascii="Times New Roman" w:eastAsia="Times New Roman" w:hAnsi="Times New Roman" w:cs="Times New Roman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sz w:val="28"/>
          <w:szCs w:val="28"/>
        </w:rPr>
        <w:t>г,д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п.15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нтитеррористическая защищенность объекта (территории) независимо от его категории обеспечивается путем осуществления мероприятий в целях: выявления потенциальных нарушителей установленных на объекте (территории) пропускного 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 и (или) признаков подготовки совершения террористического акта или его совершения, что достигается посредством: контроля состояния систем подземных коммуникаций, стоянок автотранспорта, складских помещений;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обеспечения защиты служебной информации ограниченного распространения, содержащейся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77662959/entry/2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паспорте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(территории), что достигается посредством: ограничения доступа должностных лиц (работников)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 подготовки и переподготовки должностных лиц (работников) по вопросам работы со служебной информацией ограниченного распространения;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выявления и предотвращения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отправлений, что достигается посредством периодической проверки (обхода и осмотра) зданий, сооружений и строений.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в,г,е,ж,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п.16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№410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обеспечения необходимой степени антитеррористической защищенности объектов (территорий) независимо от присвоенной им категории разрабатываются и утверждаются организационно-распорядительные документы по вопросам: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назначения лиц, ответственных за обеспечение антитеррористической защищенности объектов (территорий), их критических элементов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осуществления контроля за выполнением мероприятий по антитеррористической защищенности объектов (территорий)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организации проведения с работниками объектов (территорий) инструктажей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 или при его совершении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проведения учений, тренировок по безопасной и своевременной эвакуации работников объектов (территорий) и посетителей из зданий (сооружений)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.«</w:t>
      </w:r>
      <w:r>
        <w:rPr>
          <w:rFonts w:ascii="Times New Roman" w:eastAsia="Times New Roman" w:hAnsi="Times New Roman" w:cs="Times New Roman"/>
          <w:sz w:val="28"/>
          <w:szCs w:val="28"/>
        </w:rPr>
        <w:t>б,в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п.17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РФ №410 на объектах (территориях) первой категории дополнительно к мероприятиям, предусмотренным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71398018/entry/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настоящих требований, осуществляются следующие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периодический обход и осмотр объекта (территории), его помещений, систем подземных коммуникаций, стоянок автотранспорта, а также периодическая проверка складских помещений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состояния помещений для проведения мероприятий с массовым пребыванием людей.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требований пунктов 23, </w:t>
      </w:r>
      <w:r>
        <w:rPr>
          <w:rFonts w:ascii="Times New Roman" w:eastAsia="Times New Roman" w:hAnsi="Times New Roman" w:cs="Times New Roman"/>
          <w:sz w:val="28"/>
          <w:szCs w:val="28"/>
        </w:rPr>
        <w:t>24 постановления Правительства РФ №410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антитеррористической защищенности объектов (территорий)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руководителями органов (организаций), являющихся правообладателями объектов (территорий), или уполномоченными ими лицами в виде проверок.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Плановая проверка антитеррористической защищенности объекта (территории) проводится не реже одного раза в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в соответствии с планом-графиком проверок, утверждаемым руководителем органа (организации), являющегося правообладателем объекта (территории).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.31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объекта (территории) разрабатывается должностным лицом, осуществляющим непосредственное руководство деятельностью работников на </w:t>
      </w:r>
      <w:r>
        <w:rPr>
          <w:rFonts w:ascii="Times New Roman" w:eastAsia="Times New Roman" w:hAnsi="Times New Roman" w:cs="Times New Roman"/>
          <w:sz w:val="28"/>
          <w:szCs w:val="28"/>
        </w:rPr>
        <w:t>объекте (территории),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(территории) и утверждается руководителем органа (организации), являющегося правообладателем объекта (территории), или уполномоченным им лицом.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п.34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Паспорт безопасности объекта (территории) составляется в 2 экземплярах.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экземпляр хранится на объекте (территории), второй экземпляр направляется в орган (организацию), являющийся правообладателем объекта (территории).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09.01.2024 Ханты-Мансийской межрайонной прокуратурой с привлечением специалистов Ханты-Мансийского Отдела вневедомственной охраны – филиала ФГКУ «Управления вневедомственной охраны войск национальной гвардии Российской Федерации по Ханты-Мансийскому автономному округу-Югре» проведена проверка БУ ХМАО-Югры «Ханты-Мансийский центр содействия семейному воспитанию, Радуга» соблюдения законодательства о противодействии терроризму, обеспечение антитеррористической защищенности объектов.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факты несоблюдения учреждением требований, предъявляемых Федеральным законом №35-ФЗ от 06.03.2006 «О противодействии терроризму» и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п.12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акт обследования и категорирования объекта (территории) не утвержден руководителем объекта (территории);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п.14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не разработан перечень мероприятий по обеспечению антитеррористической защищенности с указанием срока реализ</w:t>
      </w:r>
      <w:r>
        <w:rPr>
          <w:rFonts w:ascii="Times New Roman" w:eastAsia="Times New Roman" w:hAnsi="Times New Roman" w:cs="Times New Roman"/>
          <w:sz w:val="28"/>
          <w:szCs w:val="28"/>
        </w:rPr>
        <w:t>ации указанных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п.15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приняты меры к антитеррористической защищенности объекта (территории) путем осуществления мероприятий по выявлению потенциальных нарушителей установленных на объекте (территории) пропускного 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 и (или) признаков подготовки совершения террористического акта или его совершения, посредством контроля состояния систем подземных коммуникаций, стоянок автотранспор</w:t>
      </w:r>
      <w:r>
        <w:rPr>
          <w:rFonts w:ascii="Times New Roman" w:eastAsia="Times New Roman" w:hAnsi="Times New Roman" w:cs="Times New Roman"/>
          <w:sz w:val="28"/>
          <w:szCs w:val="28"/>
        </w:rPr>
        <w:t>та, складских помещений, не про</w:t>
      </w:r>
      <w:r>
        <w:rPr>
          <w:rFonts w:ascii="Times New Roman" w:eastAsia="Times New Roman" w:hAnsi="Times New Roman" w:cs="Times New Roman"/>
          <w:sz w:val="28"/>
          <w:szCs w:val="28"/>
        </w:rPr>
        <w:t>водится обход территории охранни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 ООО ЧОО «Цербер», что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видеозаписью от </w:t>
      </w:r>
      <w:r>
        <w:rPr>
          <w:rFonts w:ascii="Times New Roman" w:eastAsia="Times New Roman" w:hAnsi="Times New Roman" w:cs="Times New Roman"/>
          <w:sz w:val="28"/>
          <w:szCs w:val="28"/>
        </w:rPr>
        <w:t>09.12.2023, не согласован с Министерством внутренних дел РФ план взаимодействия по вопросам противодействия терроризму и экстремизму; не приняты меры по защите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числе, служебной информации ограниченного распространения о принимаемых мерах по антитеррористической защищенности объекта (территории) посредством ограничения доступа должностных (работников) к данной информации: (работники Лифанова И.А., Аксенов Н.И., Пшеницын А.В., Балашова М.О., не прошедшие обучение, не имеют полномочий работать с документами ограниченного пользования); посредством подготовки и переподготовки должностных лиц (работников) по вопросам работы со служебной информацией ограниченного распространения (отсутствует обучение Лифановой И.А., Аксенова Н.И., Пшеницына А.В. и Бала</w:t>
      </w:r>
      <w:r>
        <w:rPr>
          <w:rFonts w:ascii="Times New Roman" w:eastAsia="Times New Roman" w:hAnsi="Times New Roman" w:cs="Times New Roman"/>
          <w:sz w:val="28"/>
          <w:szCs w:val="28"/>
        </w:rPr>
        <w:t>шова М.О.);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приняты меры по предотвращению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числе, при получении посредством почтовых отправлений, посредством проверки (обхода и осмотра) зданий, сооружений и строений: обход территории охранником ООО ЧОО «Цербер» не осуществляется с 09.12.2023;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нарушением п.16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не разработаны и не утверждены организационно-распорядительные документы по вопросам назначения лиц, ответственных за обеспечение антитеррористической защищенности объекта (территорий), их критических элементов; по вопросам осуществления контроля за выполнением мероприятий по антитеррористической защищенности объектов (территорий) (отсутствует локальный правовой акт); по вопросам организации проведения с работниками объектов (территорий) инструктажей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 или при его совершении (отсутствует журнал инструктажей); по вопросам проведения учений, тренировок по безопасной и своевременной эвакуации работников объектов (территорий) и посетителей из зданий (сооружений) (отсутствует локальный правовой акт на 2024 год); по вопросам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 (отсутствует согласованный план взаим</w:t>
      </w:r>
      <w:r>
        <w:rPr>
          <w:rFonts w:ascii="Times New Roman" w:eastAsia="Times New Roman" w:hAnsi="Times New Roman" w:cs="Times New Roman"/>
          <w:sz w:val="28"/>
          <w:szCs w:val="28"/>
        </w:rPr>
        <w:t>одействия);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п.17 постановления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>не проводится периодический обход и осмотр объекта (территории), его помещений, систем подземных коммуникаций, стоянок автотранспорта, складских помещений, контроль территории состояния помещения для проведения мероприятий с массовым пребыванием людей (обход территории охранником ОО</w:t>
      </w:r>
      <w:r>
        <w:rPr>
          <w:rFonts w:ascii="Times New Roman" w:eastAsia="Times New Roman" w:hAnsi="Times New Roman" w:cs="Times New Roman"/>
          <w:sz w:val="28"/>
          <w:szCs w:val="28"/>
        </w:rPr>
        <w:t>О ЧОО «Цербер» не осуществлен при просмотре видеозаписи от 09.12.2023);</w:t>
      </w:r>
    </w:p>
    <w:p>
      <w:pPr>
        <w:widowControl w:val="0"/>
        <w:spacing w:before="0" w:after="0"/>
        <w:ind w:left="20" w:right="2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п.п.20-22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не согласован порядок информирования об угрозе совершения террористи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акта или его совершении;</w:t>
      </w:r>
    </w:p>
    <w:p>
      <w:pPr>
        <w:widowControl w:val="0"/>
        <w:spacing w:before="0" w:after="0"/>
        <w:ind w:left="20" w:right="2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п.23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контроль за выполнением требований к антитеррористической защищенности объектов (территорий) в виде проверок, проводимых руководителем учреждения или уполн</w:t>
      </w:r>
      <w:r>
        <w:rPr>
          <w:rFonts w:ascii="Times New Roman" w:eastAsia="Times New Roman" w:hAnsi="Times New Roman" w:cs="Times New Roman"/>
          <w:sz w:val="28"/>
          <w:szCs w:val="28"/>
        </w:rPr>
        <w:t>омоченными руководителем лицами;</w:t>
      </w:r>
    </w:p>
    <w:p>
      <w:pPr>
        <w:widowControl w:val="0"/>
        <w:spacing w:before="0" w:after="0"/>
        <w:ind w:left="20" w:right="2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п.п.24-25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не проводятся один раз в три года плановые проверки антитеррористической защищенности объекта (территории) в соответствии с планом-графиком проверок, утверждаемых руководителем организации);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 п.п.26-29 постановления Правительства РФ №410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внеплановые проверки антитеррористической защищенности объекта (территории) после актуализации паспорта бе</w:t>
      </w:r>
      <w:r>
        <w:rPr>
          <w:rFonts w:ascii="Times New Roman" w:eastAsia="Times New Roman" w:hAnsi="Times New Roman" w:cs="Times New Roman"/>
          <w:sz w:val="28"/>
          <w:szCs w:val="28"/>
        </w:rPr>
        <w:t>зопасности объекта (территории)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нарушение п.31 постановления Правительства РФ №410 не соблюден порядок согласования и утверждения паспорта безопасности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п.34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направлены копии (электронные копии) паспорта безопасности антитеррористической защищенности объекта (территории) </w:t>
      </w:r>
      <w:r>
        <w:rPr>
          <w:rFonts w:ascii="Times New Roman" w:eastAsia="Times New Roman" w:hAnsi="Times New Roman" w:cs="Times New Roman"/>
          <w:sz w:val="28"/>
          <w:szCs w:val="28"/>
        </w:rPr>
        <w:t>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обстоятельства послужили основанием для возбуждения Ханты-Мансийским межрайонным прокурором в отношении Лифановой И.А. дела об административном правонарушении, предусмотренным ч.1 ст.20.35 КоАП РФ.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не представлено и в судебном заседании не установлено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РФ №410.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Лифановой И.А. вменено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пунктов 20-22 постановления Правительства РФ №410, в связи с тем, что в Учреждении не согласован пор</w:t>
      </w:r>
      <w:r>
        <w:rPr>
          <w:rFonts w:ascii="Times New Roman" w:eastAsia="Times New Roman" w:hAnsi="Times New Roman" w:cs="Times New Roman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информирования об угрозе совершения террористического акта территориальный орган безопасности, территориальный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МВД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ФСВ НГ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территориальный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МЧС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вышестоящий орган (организацию).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</w:rPr>
        <w:t>, положения указанных пунктов постановления Правительства РФ №4</w:t>
      </w:r>
      <w:r>
        <w:rPr>
          <w:rFonts w:ascii="Times New Roman" w:eastAsia="Times New Roman" w:hAnsi="Times New Roman" w:cs="Times New Roman"/>
          <w:sz w:val="28"/>
          <w:szCs w:val="28"/>
        </w:rPr>
        <w:t>10 не предусматривают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разработке и согласовании порядка информирования, тем более, что порядок информирования заинтересованных Служб о террористическом акте или о его угрозе подробно </w:t>
      </w:r>
      <w:r>
        <w:rPr>
          <w:rFonts w:ascii="Times New Roman" w:eastAsia="Times New Roman" w:hAnsi="Times New Roman" w:cs="Times New Roman"/>
          <w:sz w:val="28"/>
          <w:szCs w:val="28"/>
        </w:rPr>
        <w:t>изложен в постановлении.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также не усматривает нарушений Лифановой И.А. требований пунктов 26-29 постановления Правительства РФ №410, согласно которым контроль за выполнением требований к антитеррористической защищенности объекта (территории) осуществляется руководителем посредством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внеплановых </w:t>
      </w:r>
      <w:r>
        <w:rPr>
          <w:rFonts w:ascii="Times New Roman" w:eastAsia="Times New Roman" w:hAnsi="Times New Roman" w:cs="Times New Roman"/>
          <w:sz w:val="28"/>
          <w:szCs w:val="28"/>
        </w:rPr>
        <w:t>проверок,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решению руководителя объекта при получении информации о несоблюдении на объекте (территории)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к антитеррористической защищенности объекта (территории), а также после актуализации паспорта безопасности.</w:t>
      </w:r>
    </w:p>
    <w:p>
      <w:pPr>
        <w:widowControl w:val="0"/>
        <w:spacing w:before="0" w:after="0"/>
        <w:ind w:left="20" w:right="24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не представлено и в судебном заседании не установлено, оснований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внеплановых проверок,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 данные о поступавших информациях о несоблюдении на объекте (территории) требований к антитеррористической защищенности объекта (территории), а также сведения об актуализации паспорта безопасности.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нарушения требований п.п.15, 16, 17, 23, 24-25,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 постановления Правительства РФ №410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 совокупностью доказательства, исследованных в ходе судебного заседания, в частности: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-постановлением о возбуждении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от 12.02.2024, составленным в отсутствии Лифановой И.А., извещенной о месте и времени вынесения постановления надлежащим образом;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решения о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ении проверки от 26.12.2023 со сведениями об ознакомлении Лифановой И.А.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Ханты-Мансийского ОВО – филиал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ФГКУ «УВОВНГ РФ по ХМАО-Югре» о выявленных нарушениях законодательства об антитеррористической защищенности объекта (территории) БУ ХМАО-Югры «Ханты-Мансийский центр содействия семейному воспитанию»;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Выписки из ЕГРЮЛ в отношении БУ ХМАО-Югры «Ханты-Мансийский центр содействия семейному воспитанию»;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Устава БУ ХМАО-Югры «Ханты-Мансийский центр содействия семейному воспитанию»;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титульного листа паспорта безопасности БУ ХМАО-Югры «Ханты-Мансийский центр содействия семейному воспитанию»;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Выписки из Акта обследования и категорирования №02-ДСП от 03.08.2022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-Выпиской из Единого реестра недвижимости об объекте недвижимости жилом доме, расположенном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ул.Свердлова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д.23</w:t>
      </w:r>
      <w:r>
        <w:rPr>
          <w:rFonts w:ascii="Times New Roman" w:eastAsia="Times New Roman" w:hAnsi="Times New Roman" w:cs="Times New Roman"/>
          <w:sz w:val="28"/>
          <w:szCs w:val="28"/>
        </w:rPr>
        <w:t>, правообладателем которого является БУ ХМАО-Югры «Ханты-Мансийский центр содействия семейному воспитанию» на праве оперативного управления.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распоряжением Губернатора ХМАО-Югры №657-рп от 24.10.2022 «О назначении на должности директоров некоторых бюджетных учреждения Ханты-Мансийского автономного округа-Югры»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БУ ХМАО-Югры «Ханты-Мансийский центр содействия семейному воспитанию» назначена Лифанова Ирина Александровна с 24.10.2022.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п.п.3.1 и 3.20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олжностной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БУ ХМАО-Югры «Ханты-Мансийский центр содействия семейному воспитанию»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руководство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 Учреждения в соответствии с действующим законодательством Российской Федерации и Ханты-Мансийского автономного округа-Югры, уставом Учреждения, заключенным трудовым договором, настоящей должностной инструкцией.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Учреждения обязан обеспечивать выполнение требований по комплексной безопасности учреждения и получателей социальных услуг, гражданской обороне, мобилизационной подготовке, противопожарной, антитеррористической безопасности, соблюдению санитарно-гигиенических норм.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установленных обстоятельств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Лифанова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занимаемой должности и своих должностных обязанностей, не предприняла все зависящие от неё меры по соблюдению исполнения законодательства в области обеспечения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(территории) БУ «Ханты-Мансийский центр содействия семейному воспитанию».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объективно препятствующих выполнению данных требований, суду не представлено.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совокупности исследованных доказательств мировой судья приходит к выводу о виновности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БУ ХМАО-Югры «Ханты-Мансийский центр содействия семейному воспитанию» Лифановой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наличии в её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административного правонарушения, предусмотренного ч.1 </w:t>
      </w:r>
      <w:r>
        <w:rPr>
          <w:rFonts w:ascii="Times New Roman" w:eastAsia="Times New Roman" w:hAnsi="Times New Roman" w:cs="Times New Roman"/>
          <w:sz w:val="28"/>
          <w:szCs w:val="28"/>
        </w:rPr>
        <w:t>ст.20.35 КоАП РФ –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требований к антитеррористической защищенности объектов (территорий), если эти действия не содержат признаков уголовно наказуемого деяния.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мировой судья учитывает личность виновного, его имущественное положение, характер совершенного им правонарушения,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Лифановой И.А.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совершено правонарушение, посягающее на общественную безопасность. Согласно перечню выявленных нарушений следует, что основы обеспечения безопасности зданий и территорий, деятельность которого допускает массовое скопления людей, находятся под существенной угрозой предотвращения актов незаконного вмешательства, поскольку не обеспечена безопасность объектов на предмет их устойчивого и безопасного функционирования, и, как следствие, объект не защищён от актов незаконного вмешательства.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Лифанова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ответственности, с</w:t>
      </w:r>
      <w:r>
        <w:rPr>
          <w:rFonts w:ascii="Times New Roman" w:eastAsia="Times New Roman" w:hAnsi="Times New Roman" w:cs="Times New Roman"/>
          <w:sz w:val="28"/>
          <w:szCs w:val="28"/>
        </w:rPr>
        <w:t>мягчающих и отягчающих административную ответственность обстоятельств не установлено.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установленных обстоятельств мировой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Лифановой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 в минимальном размере, предусмотренном санкцией ч.1 ст.20.35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должностное лицо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БУ ХМАО-Югры «Ханты-Мансийский центр содействия семейному воспитанию»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Лифанову Ирину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виновной в совершении административного правонарушения, предусмотренного ч.1 ст.20.35 Кодекса Российской Федерации об административных правонарушениях, и назначить ей наказание в виде штрафа в размере 30000 (тридцать тысяч)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 следующим реквизитам.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8"/>
          <w:szCs w:val="28"/>
        </w:rPr>
        <w:t>КБК 720 1 16 01203 01 9000 140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0412365400725005052420175</w:t>
      </w:r>
    </w:p>
    <w:p>
      <w:pPr>
        <w:spacing w:before="0" w:after="0"/>
        <w:ind w:firstLine="142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37606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44rplc-10">
    <w:name w:val="cat-UserDefined grp-4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13AA-B45B-4A23-A490-8E41A0EA42E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